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0A6BA2E7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012E67">
        <w:rPr>
          <w:kern w:val="3"/>
          <w:lang w:val="en-US" w:eastAsia="ar-SA"/>
        </w:rPr>
        <w:t>12.09.2025.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2130275D" w:rsidR="00EC05A7" w:rsidRPr="00012E6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012E67">
        <w:rPr>
          <w:b/>
          <w:bCs/>
          <w:kern w:val="3"/>
          <w:lang w:val="sr-Cyrl-RS" w:eastAsia="ar-SA"/>
        </w:rPr>
        <w:t>Противпожарни апарати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6696D0AA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012E67">
        <w:rPr>
          <w:b/>
          <w:kern w:val="3"/>
          <w:lang w:val="sr-Cyrl-RS" w:eastAsia="ar-SA"/>
        </w:rPr>
        <w:t xml:space="preserve"> До 200.000,00</w:t>
      </w:r>
      <w:r w:rsidRPr="00EC05A7">
        <w:rPr>
          <w:kern w:val="3"/>
          <w:lang w:val="en-US" w:eastAsia="ar-SA"/>
        </w:rPr>
        <w:t xml:space="preserve"> 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216B9B1B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12E67">
        <w:rPr>
          <w:kern w:val="3"/>
          <w:lang w:val="sr-Cyrl-RS" w:eastAsia="ar-SA"/>
        </w:rPr>
        <w:t xml:space="preserve"> 19.09.2025.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67745C2B" w:rsidR="005C2B67" w:rsidRDefault="00012E67" w:rsidP="00EC05A7">
      <w:pPr>
        <w:rPr>
          <w:lang w:val="sr-Cyrl-RS"/>
        </w:rPr>
      </w:pPr>
      <w:r>
        <w:rPr>
          <w:lang w:val="sr-Cyrl-RS"/>
        </w:rPr>
        <w:t>Адам Секулић</w:t>
      </w:r>
    </w:p>
    <w:p w14:paraId="180EB310" w14:textId="45531DCE" w:rsidR="00012E67" w:rsidRPr="00012E67" w:rsidRDefault="00012E67" w:rsidP="00EC05A7">
      <w:pPr>
        <w:rPr>
          <w:lang w:val="sr-Cyrl-RS"/>
        </w:rPr>
      </w:pPr>
      <w:r>
        <w:rPr>
          <w:lang w:val="sr-Cyrl-RS"/>
        </w:rPr>
        <w:t>066/808-52-58</w:t>
      </w:r>
    </w:p>
    <w:sectPr w:rsidR="00012E67" w:rsidRPr="00012E67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C8CC" w14:textId="77777777" w:rsidR="00FE18D6" w:rsidRDefault="00FE18D6">
      <w:r>
        <w:separator/>
      </w:r>
    </w:p>
  </w:endnote>
  <w:endnote w:type="continuationSeparator" w:id="0">
    <w:p w14:paraId="7334803B" w14:textId="77777777" w:rsidR="00FE18D6" w:rsidRDefault="00FE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0559" w14:textId="77777777" w:rsidR="00FE18D6" w:rsidRDefault="00FE18D6">
      <w:r>
        <w:separator/>
      </w:r>
    </w:p>
  </w:footnote>
  <w:footnote w:type="continuationSeparator" w:id="0">
    <w:p w14:paraId="02E67F0C" w14:textId="77777777" w:rsidR="00FE18D6" w:rsidRDefault="00FE1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19176412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12E67"/>
    <w:rsid w:val="001C1ADE"/>
    <w:rsid w:val="001C3136"/>
    <w:rsid w:val="0039006E"/>
    <w:rsid w:val="00434B37"/>
    <w:rsid w:val="004913EC"/>
    <w:rsid w:val="005A22F0"/>
    <w:rsid w:val="005C2B67"/>
    <w:rsid w:val="00637114"/>
    <w:rsid w:val="00707CE2"/>
    <w:rsid w:val="007260CD"/>
    <w:rsid w:val="00824215"/>
    <w:rsid w:val="008432DD"/>
    <w:rsid w:val="00864A03"/>
    <w:rsid w:val="008F1A79"/>
    <w:rsid w:val="00942F87"/>
    <w:rsid w:val="00955644"/>
    <w:rsid w:val="00A26CBF"/>
    <w:rsid w:val="00A3396B"/>
    <w:rsid w:val="00C869B3"/>
    <w:rsid w:val="00D409D4"/>
    <w:rsid w:val="00DA6DAA"/>
    <w:rsid w:val="00DE678A"/>
    <w:rsid w:val="00DF5CD7"/>
    <w:rsid w:val="00E45924"/>
    <w:rsid w:val="00E8787C"/>
    <w:rsid w:val="00E97BE4"/>
    <w:rsid w:val="00EC05A7"/>
    <w:rsid w:val="00EC7BBA"/>
    <w:rsid w:val="00FE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19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2025-09-12T08:00:00Z</dcterms:modified>
</cp:coreProperties>
</file>